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2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181"/>
        <w:gridCol w:w="1341"/>
        <w:gridCol w:w="1601"/>
      </w:tblGrid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Врачебная косметология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Препарат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объем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Стоимость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Код услуги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Введение искусственных наполнителей в мягкие ткани с целью коррекции формы губ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носогубных борозд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10000-14500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рублей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A11.01.013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Juvederm Ultra Smile (0.55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Juvederm Ultra 3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Juvederm Vycross Volbella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15000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Belotero Intense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50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Belotero Intense +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Belotero Balance (1.0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Belotero Balance + (1.0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Belotero Soft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A11.01.013.00</w:t>
            </w: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Surgiderm 24 XP (0.8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Stylage S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Stylage M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Stylage M +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Stylage Lips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50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Stylage L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Введение искусственных наполнителей в мягкие ткани с целью коррекции формы носослезных борозд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00-16500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рублей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Juvederm Vycross Volbella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15000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Stylage S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Restylane (+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канюля</w:t>
            </w:r>
            <w:r>
              <w:rPr>
                <w:rFonts w:ascii="Times New Roman" w:hAnsi="Times New Roman"/>
                <w:rtl w:val="0"/>
                <w:lang w:val="ru-RU"/>
              </w:rPr>
              <w:t>)(1.0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16500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en-US"/>
              </w:rPr>
              <w:t>Teosyal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PureSense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Redensity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(+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канюля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)(1.0 </w:t>
            </w:r>
            <w:r>
              <w:rPr>
                <w:rFonts w:ascii="Times New Roman" w:hAnsi="Times New Roman"/>
                <w:rtl w:val="0"/>
                <w:lang w:val="en-US"/>
              </w:rPr>
              <w:t>ml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16000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Введение искусственных наполнителей в мягкие ткани с целью коррекции формы носа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скул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подбородка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14000-15000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рублей за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A11.01.013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Juvederm Vycross Voluma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00/2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1e1f24"/>
                <w:u w:color="1e1f24"/>
                <w:rtl w:val="0"/>
                <w:lang w:val="ru-RU"/>
                <w14:textFill>
                  <w14:solidFill>
                    <w14:srgbClr w14:val="1E1F24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1e1f24"/>
                <w:u w:color="1e1f24"/>
                <w:rtl w:val="0"/>
                <w:lang w:val="ru-RU"/>
                <w14:textFill>
                  <w14:solidFill>
                    <w14:srgbClr w14:val="1E1F24"/>
                  </w14:solidFill>
                </w14:textFill>
              </w:rPr>
              <w:t>Belotero Volume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00/2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Radiesse (1.5/3.0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17000/28000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Juvederm Ultra 4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14500/27000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Surgiderm 30xp (0.8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/>
                <w:rtl w:val="0"/>
                <w:lang w:val="ru-RU"/>
              </w:rPr>
              <w:t>Stylage XL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00/2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en-US"/>
              </w:rPr>
              <w:t>Juvederm Volite (1,0 ml/2,0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13000/23000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11.01.013.0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A11.01.010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Инъекционное введение лекарственных препаратов в очаг поражения кожи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Лонгидаза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3000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ед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4000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Инъекционное введение лекарственных препаратов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биоревитализация и мезотерапия 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Princess Rich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6500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Stylage Hydro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Stylage Hydro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Max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IAL system (1.1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8000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IAL system ACP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9000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Hyalual 1.1 %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7500/10000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Hyalual 1,8%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9000/11000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Hyalual 2.2 % 1 (1.0/2.0 ml 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9500/12000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A11.01.010.00</w:t>
            </w:r>
            <w:r>
              <w:rPr>
                <w:rFonts w:ascii="Times New Roman" w:hAnsi="Times New Roman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MesoSculpt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MesoEye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Meso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Xanthin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л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+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ш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+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 (1.5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ml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Meso-Wharton 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Биорепарация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 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л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+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ш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+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 (1.5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мл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en-US"/>
              </w:rPr>
              <w:t>Neauvia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Organic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Hydro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Deluxe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(2.5 </w:t>
            </w:r>
            <w:r>
              <w:rPr>
                <w:rFonts w:ascii="Times New Roman" w:hAnsi="Times New Roman"/>
                <w:rtl w:val="0"/>
                <w:lang w:val="en-US"/>
              </w:rPr>
              <w:t>ml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Juvederm Hydrate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90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</w:t>
            </w:r>
            <w:r>
              <w:rPr>
                <w:rFonts w:ascii="Times New Roman" w:hAnsi="Times New Roman"/>
                <w:rtl w:val="0"/>
                <w:lang w:val="en-US"/>
              </w:rPr>
              <w:t>01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Filorga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Франция</w:t>
            </w:r>
            <w:r>
              <w:rPr>
                <w:rFonts w:ascii="Times New Roman" w:hAnsi="Times New Roman"/>
                <w:rtl w:val="0"/>
                <w:lang w:val="ru-RU"/>
              </w:rPr>
              <w:t>) NCTF 135 HA (3.0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7500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Filorga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Франция</w:t>
            </w:r>
            <w:r>
              <w:rPr>
                <w:rFonts w:ascii="Times New Roman" w:hAnsi="Times New Roman"/>
                <w:rtl w:val="0"/>
                <w:lang w:val="ru-RU"/>
              </w:rPr>
              <w:t>)NCTF 135 HA+ (3.0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9500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A11.01.010.01</w:t>
            </w:r>
            <w:r>
              <w:rPr>
                <w:rFonts w:ascii="Times New Roman" w:hAnsi="Times New Roman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Filorga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Франция</w:t>
            </w:r>
            <w:r>
              <w:rPr>
                <w:rFonts w:ascii="Times New Roman" w:hAnsi="Times New Roman"/>
                <w:rtl w:val="0"/>
                <w:lang w:val="ru-RU"/>
              </w:rPr>
              <w:t>) NCTF 135 (3.0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6500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IAL system (1.1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7500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302f2f"/>
                <w:u w:color="302f2f"/>
                <w:rtl w:val="0"/>
                <w:lang w:val="ru-RU"/>
                <w14:textFill>
                  <w14:solidFill>
                    <w14:srgbClr w14:val="302F2F"/>
                  </w14:solidFill>
                </w14:textFill>
              </w:rPr>
              <w:t>IAL system ACP (1.0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9000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Aqashine  (2.0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en-US"/>
              </w:rPr>
              <w:t>Teosyal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PureSense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Redensity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(1.0 </w:t>
            </w:r>
            <w:r>
              <w:rPr>
                <w:rFonts w:ascii="Times New Roman" w:hAnsi="Times New Roman"/>
                <w:rtl w:val="0"/>
                <w:lang w:val="en-US"/>
              </w:rPr>
              <w:t>ml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8500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>Teosyal Meso Expert (3.0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Мэлсмен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(2.0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мл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4200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Гиалрипайер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-06 (2.5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мл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Гиалрипайер</w:t>
            </w:r>
            <w:r>
              <w:rPr>
                <w:rFonts w:ascii="Times New Roman" w:hAnsi="Times New Roman"/>
                <w:rtl w:val="0"/>
                <w:lang w:val="ru-RU"/>
              </w:rPr>
              <w:t>-0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ru-RU"/>
              </w:rPr>
              <w:t>,04,08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мл</w:t>
            </w:r>
            <w:r>
              <w:rPr>
                <w:rFonts w:ascii="Times New Roman" w:hAnsi="Times New Roman"/>
                <w:rtl w:val="0"/>
                <w:lang w:val="en-US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11.01.010.026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Novacutan (2.0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мл</w:t>
            </w:r>
            <w:r>
              <w:rPr>
                <w:rFonts w:ascii="Times New Roman" w:hAnsi="Times New Roman"/>
                <w:rtl w:val="0"/>
                <w:lang w:val="ru-RU"/>
              </w:rPr>
              <w:t>/4</w:t>
            </w:r>
            <w:r>
              <w:rPr>
                <w:rFonts w:ascii="Times New Roman" w:hAnsi="Times New Roman"/>
                <w:rtl w:val="0"/>
                <w:lang w:val="en-US"/>
              </w:rPr>
              <w:t>.0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мл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12000/20000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11.01.010.027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Инъекционное введение лекарственных препаратов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PROFHILO (2.0 ml)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11.01.010.028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Инъекционное введение лекарственных препаратов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Ботулинотерапия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Botox 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310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141414"/>
                <w:u w:color="141414"/>
                <w:rtl w:val="0"/>
                <w:lang w:val="ru-RU"/>
                <w14:textFill>
                  <w14:solidFill>
                    <w14:srgbClr w14:val="141414"/>
                  </w14:solidFill>
                </w14:textFill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outline w:val="0"/>
                <w:color w:val="141414"/>
                <w:u w:color="141414"/>
                <w:rtl w:val="0"/>
                <w:lang w:val="ru-RU"/>
                <w14:textFill>
                  <w14:solidFill>
                    <w14:srgbClr w14:val="141414"/>
                  </w14:solidFill>
                </w14:textFill>
              </w:rPr>
              <w:t xml:space="preserve">Xeomin 1 </w:t>
            </w:r>
            <w:r>
              <w:rPr>
                <w:rFonts w:ascii="Times New Roman" w:hAnsi="Times New Roman" w:hint="default"/>
                <w:outline w:val="0"/>
                <w:color w:val="141414"/>
                <w:u w:color="141414"/>
                <w:rtl w:val="0"/>
                <w:lang w:val="ru-RU"/>
                <w14:textFill>
                  <w14:solidFill>
                    <w14:srgbClr w14:val="141414"/>
                  </w14:solidFill>
                </w14:textFill>
              </w:rPr>
              <w:t>ед</w:t>
            </w:r>
            <w:r>
              <w:rPr>
                <w:rFonts w:ascii="Times New Roman" w:hAnsi="Times New Roman"/>
                <w:outline w:val="0"/>
                <w:color w:val="141414"/>
                <w:u w:color="141414"/>
                <w:rtl w:val="0"/>
                <w:lang w:val="ru-RU"/>
                <w14:textFill>
                  <w14:solidFill>
                    <w14:srgbClr w14:val="141414"/>
                  </w14:solidFill>
                </w14:textFill>
              </w:rPr>
              <w:t>.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280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Dysport 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Гипергидроз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Dysport 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70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Инъекционное введение лекарственных препаратов Гипергидроз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Relatox 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180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A11.01.010.0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Внутрикожное введение лекарственных препаратов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Плазмотерапия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A11.01.003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Внутрикожное введение лекарственных препаратов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Плазмотерапия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зона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лицо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4000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A11.01.003.001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Внутрикожное введение лекарственных препаратов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Плазмотерапия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зоны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6000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A11.01.003.002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Введение искусственных наполнителей в мягкие ткани с целью коррекции формы Нити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искусственных наполнителей в мягкие ткани с целью коррекции формы Нити АПТОС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40000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A11.01.013.03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98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искусственных наполнителей в мягкие ткани с целью коррекции формы Нити РЕНЕ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линейные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шт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1000(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менее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),800(21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 более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A11.01.013.03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 другое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Прием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осмотр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консультация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врача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косметолога первичный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B01.008.003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Прием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осмотр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консультация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врача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косметолога повторный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B01.008.004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Канюля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Эстетическая косметология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Очищение кожи лица и шеи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Чистки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A14.01.005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Очищение кожи лица и шеи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комплексная комбинированная чистка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A14.01.005.001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Очищение кожи лица и шеи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УЗ чистка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A14.01.005.002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Альгинатная маска 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дополнительно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) 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300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Уход косметологический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1500-3000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Дерматологический пилинг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A16.01.024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Mediderma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классический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салициловый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молочный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гликолевый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миндальный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азелаиновый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пировиноградный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без ретинола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A16.01.024.001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Mediderma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классический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салициловый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молочный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гликолевый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миндальный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азелаиновый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пировиноградный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ретинолом 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Mediderma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азелаиновый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Azelac system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этапа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Mediderma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Салипил лик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липосомированный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Mediderma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Феруловый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липосомированный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Дерматологический пилинг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Mediderma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Оранж пил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липосомированный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 Джесснера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Mediderma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 Ретиноевый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желтый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Mediderma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лицо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шея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декольте </w:t>
            </w:r>
            <w:r>
              <w:rPr>
                <w:rFonts w:ascii="Times New Roman" w:hAnsi="Times New Roman"/>
                <w:rtl w:val="0"/>
                <w:lang w:val="en-US"/>
              </w:rPr>
              <w:t>Retises CT, 3-Retises CT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Дерматологический пилинг </w:t>
            </w:r>
            <w:r>
              <w:rPr>
                <w:rFonts w:ascii="Times New Roman" w:hAnsi="Times New Roman"/>
                <w:rtl w:val="0"/>
                <w:lang w:val="en-US"/>
              </w:rPr>
              <w:t>Mediderma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Target system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A16.01.024.00</w:t>
            </w:r>
            <w:r>
              <w:rPr>
                <w:rFonts w:ascii="Times New Roman" w:hAnsi="Times New Roman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 газо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жидкостный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лицо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</w:t>
            </w:r>
            <w:r>
              <w:rPr>
                <w:rFonts w:ascii="Times New Roman" w:hAnsi="Times New Roman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Дерматологический пилинг газо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жидкостный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</w:t>
            </w:r>
            <w:r>
              <w:rPr>
                <w:rFonts w:ascii="Times New Roman" w:hAnsi="Times New Roman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2900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Дерматологический пилинг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PRX-T33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лицо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4000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Дерматологический пилинг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PRX-T33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лицо</w:t>
            </w:r>
            <w:r>
              <w:rPr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шея</w:t>
            </w:r>
            <w:r>
              <w:rPr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декольте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6500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A16.01.024.0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Медицинский массаж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Массаж лица медицинский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мин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700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21.01.002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Массаж спины медицинский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мин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800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21.03.007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Массаж спины медицинский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мин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1500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21.03.007.001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Общий массаж медицинский лимфодренажный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60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мин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1400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21.01.001.001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Общий массаж медицинский антицеллюлитный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60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мин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1800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21.01.001.002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843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right"/>
      <w:rPr>
        <w:rFonts w:ascii="Times New Roman" w:cs="Times New Roman" w:hAnsi="Times New Roman" w:eastAsia="Times New Roman"/>
      </w:rPr>
    </w:pPr>
    <w:r>
      <w:rPr>
        <w:rFonts w:ascii="Times New Roman" w:hAnsi="Times New Roman" w:hint="default"/>
        <w:rtl w:val="0"/>
        <w:lang w:val="ru-RU"/>
      </w:rPr>
      <w:t xml:space="preserve">Утверждаю </w:t>
    </w:r>
    <w:r>
      <w:rPr>
        <w:rFonts w:ascii="Times New Roman" w:hAnsi="Times New Roman"/>
        <w:rtl w:val="0"/>
        <w:lang w:val="ru-RU"/>
      </w:rPr>
      <w:t>_________________</w:t>
    </w:r>
  </w:p>
  <w:p>
    <w:pPr>
      <w:pStyle w:val="header"/>
      <w:tabs>
        <w:tab w:val="right" w:pos="9329"/>
        <w:tab w:val="clear" w:pos="9355"/>
      </w:tabs>
      <w:jc w:val="right"/>
    </w:pPr>
    <w:r>
      <w:rPr>
        <w:rFonts w:ascii="Times New Roman" w:hAnsi="Times New Roman" w:hint="default"/>
        <w:rtl w:val="0"/>
        <w:lang w:val="ru-RU"/>
      </w:rPr>
      <w:t>Директор ООО «БЬЮТИ КЛИНИК» Михайлова О</w:t>
    </w:r>
    <w:r>
      <w:rPr>
        <w:rFonts w:ascii="Times New Roman" w:hAnsi="Times New Roman"/>
        <w:rtl w:val="0"/>
        <w:lang w:val="ru-RU"/>
      </w:rPr>
      <w:t>.</w:t>
    </w:r>
    <w:r>
      <w:rPr>
        <w:rFonts w:ascii="Times New Roman" w:hAnsi="Times New Roman" w:hint="default"/>
        <w:rtl w:val="0"/>
        <w:lang w:val="ru-RU"/>
      </w:rPr>
      <w:t>В</w:t>
    </w:r>
    <w:r>
      <w:rPr>
        <w:rFonts w:ascii="Times New Roman" w:hAnsi="Times New Roman"/>
        <w:rtl w:val="0"/>
        <w:lang w:val="ru-RU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